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0E" w:rsidRDefault="0017680E" w:rsidP="0017680E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eastAsiaTheme="minorHAnsi" w:hAnsi="Bookman Old Style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750159111" r:id="rId6"/>
        </w:objec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49/2023</w:t>
      </w:r>
    </w:p>
    <w:p w:rsidR="0017680E" w:rsidRDefault="0017680E" w:rsidP="0017680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1.  Otvorenie zasadnutia a schválenie programu rokovania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7710743"/>
      <w:r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doplnenie programu rokovania v bode 9. Rôzne s doplnením bodov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9a) Návrh na odstránenie administratívnej budovy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 14 na p. č. 125 a rodinného  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domu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 č. 154 na p. č. 417 vo vlastníctve obce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9b) Návrh Darovacej zmluvy medzi zmluvnými stranami Lepší život Šalov o. z. a Obec Šalov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9c) Informácia o výsledkoch výberové konanie na funkciu riaditeľa ZŠ s VJM Šalov 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9d) Výzva na predkladanie žiadosti o poskytnutie prostriedkov mechanizmu na podporu  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obnovy a odolnosti – Zvýšenie kapacít MŠ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9e) Kontrola plnenia uznesení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9f) Určenie zloženia členov jednotlivých komisií pri OZ</w:t>
      </w:r>
    </w:p>
    <w:bookmarkEnd w:id="0"/>
    <w:p w:rsidR="0017680E" w:rsidRP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50/2023</w:t>
      </w:r>
    </w:p>
    <w:p w:rsidR="0017680E" w:rsidRDefault="0017680E" w:rsidP="0017680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680E" w:rsidRDefault="0017680E" w:rsidP="0017680E">
      <w:pPr>
        <w:pStyle w:val="Bezriadkovania"/>
        <w:spacing w:line="288" w:lineRule="auto"/>
        <w:jc w:val="both"/>
        <w:rPr>
          <w:rFonts w:ascii="Times New Roman" w:hAnsi="Times New Roman" w:cstheme="minorBidi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17680E" w:rsidRDefault="0017680E" w:rsidP="0017680E">
      <w:pPr>
        <w:pStyle w:val="Bezriadkovania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Jakab</w:t>
      </w:r>
      <w:proofErr w:type="spellEnd"/>
    </w:p>
    <w:p w:rsidR="0017680E" w:rsidRDefault="0017680E" w:rsidP="0017680E">
      <w:pPr>
        <w:pStyle w:val="Bezriadkovania"/>
        <w:rPr>
          <w:rFonts w:ascii="Times New Roman" w:hAnsi="Times New Roman"/>
          <w:sz w:val="24"/>
          <w:szCs w:val="24"/>
        </w:rPr>
      </w:pPr>
    </w:p>
    <w:p w:rsidR="0017680E" w:rsidRPr="0017680E" w:rsidRDefault="0017680E" w:rsidP="0017680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51/2023</w:t>
      </w:r>
    </w:p>
    <w:p w:rsidR="0017680E" w:rsidRDefault="0017680E" w:rsidP="0017680E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K bodu  3.  Návrh Individuálnej výročnej správy obce Šalov za rok 2022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a) prerokovalo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Individuálnej výročnej správy obce Šalov za rok 2022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kern w:val="3"/>
          <w:sz w:val="24"/>
          <w:szCs w:val="24"/>
        </w:rPr>
        <w:t xml:space="preserve">b) schvaľuje 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Individuálnu výročnú správu obce Šalov za rok 2022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</w:p>
    <w:bookmarkEnd w:id="1"/>
    <w:p w:rsidR="0017680E" w:rsidRDefault="0017680E" w:rsidP="0017680E">
      <w:pPr>
        <w:pStyle w:val="Bezriadkovania"/>
        <w:rPr>
          <w:rFonts w:ascii="Times New Roman" w:hAnsi="Times New Roman" w:cstheme="minorBidi"/>
          <w:sz w:val="24"/>
          <w:szCs w:val="24"/>
        </w:rPr>
      </w:pPr>
    </w:p>
    <w:p w:rsidR="0017680E" w:rsidRDefault="0017680E" w:rsidP="001768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17680E" w:rsidRDefault="0017680E" w:rsidP="001768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7680E" w:rsidRDefault="0017680E" w:rsidP="0017680E">
      <w:pPr>
        <w:spacing w:after="0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52/2023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Návrh záverečného účtu obce Šalov za rok 2022 so stanoviskom hlavnej kontrolórky obce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prerokovalo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záverečného účtu za rok 2022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berie na vedomie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odborné stanovisko hlavnej kontrolórky obce k záverečnému účtu za rok  2022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schvaľuje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celoročné hospodárenie obce za rok 2022 s výrokom „bez výhrad“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schvaľuje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zostatok finančných prostriedkov z roku 2022 previesť do rozpočtu na rok 2023 cez príjmové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finančné operácie a použiť na čerpanie bežných výdavkov</w:t>
      </w:r>
    </w:p>
    <w:p w:rsidR="0017680E" w:rsidRDefault="0017680E" w:rsidP="001768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17680E" w:rsidRPr="0017680E" w:rsidRDefault="0017680E" w:rsidP="0017680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53/2023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 5. Návrh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Komunitného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plánu sociálnych služieb obce na roky 2023 – 2030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17680E" w:rsidRDefault="0017680E" w:rsidP="0017680E">
      <w:pPr>
        <w:pStyle w:val="Bezriadkovania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 prerokovalo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plánu sociálnych služieb obce na roky 2023 – 2030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Komunitný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plán sociálnych služieb obce na roky 2023 – 2030</w:t>
      </w:r>
    </w:p>
    <w:p w:rsidR="0017680E" w:rsidRPr="00367524" w:rsidRDefault="0017680E" w:rsidP="0036752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 </w:t>
      </w:r>
    </w:p>
    <w:p w:rsidR="0017680E" w:rsidRDefault="0017680E" w:rsidP="0036752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54/2023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P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6. Oznámenie o prekročení limitu dlhu obce k 31.12.2022 a stanovisko hlavnej kontrolórky obce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7680E" w:rsidRDefault="0017680E" w:rsidP="0017680E">
      <w:pPr>
        <w:pStyle w:val="Bezriadkovania"/>
        <w:rPr>
          <w:rFonts w:ascii="Times New Roman" w:eastAsiaTheme="minorEastAsia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7680E" w:rsidRPr="00367524" w:rsidRDefault="0017680E" w:rsidP="00367524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hlavnej kontrolórky obce Šalov k  dlhu obce k 31.12.2022, čo predstavuje 48 %</w:t>
      </w: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55/2023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P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367524" w:rsidRDefault="00367524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7. Návrh plánu kontrolnej činnosti hlavnej kontrolórky na 2. polrok 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plán kontrolnej činnosti hlavnej</w:t>
      </w:r>
      <w:r>
        <w:rPr>
          <w:rFonts w:ascii="Times New Roman" w:hAnsi="Times New Roman" w:cs="Times New Roman"/>
          <w:sz w:val="24"/>
          <w:szCs w:val="24"/>
        </w:rPr>
        <w:t xml:space="preserve"> kontrolórky  obce na 2. polrok  2023</w:t>
      </w:r>
    </w:p>
    <w:p w:rsidR="0017680E" w:rsidRP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56/2023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P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367524" w:rsidRDefault="00367524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 8. Žiadosť o odkúpenie pozemku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7680E" w:rsidRDefault="0017680E" w:rsidP="0017680E">
      <w:pPr>
        <w:pStyle w:val="Bezriadkovania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odkúpenie pozemku vo vlastníctve obce Šalov nachádzajúcej sa v k. ú. Šalov p. č. 5976/2 o výmere 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, podanej žiadateľom Alexandrom Juhásom, bytom Málaš 159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zámer obce Šalov odpredať nehnuteľnosť parcely C-KN č. 5976/2 – zastavená plocha a nádvorie o výmere 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podľa §9a ods. 8 písm. e) zákona č. 138/1991 Zb. o majetku obcí v platnom znení, t. j.  z dôvodu hodného osobitného zreteľa,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prospech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Juhásza</w:t>
      </w:r>
      <w:proofErr w:type="spellEnd"/>
      <w:r>
        <w:rPr>
          <w:rFonts w:ascii="Times New Roman" w:hAnsi="Times New Roman" w:cs="Times New Roman"/>
          <w:sz w:val="24"/>
          <w:szCs w:val="24"/>
        </w:rPr>
        <w:t>, bytom Málaš 159, za predajnú cenu 10,00 € za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 hodným osobitného zreteľa je skutočnosť, že predmetná novovzniknutá parcela je manipulačnou plochou k nehnuteľnosti postavenej na parcele č. 5813 – viničný domček so súpisným číslom 234, a v časti je pozemok zastavaný prístreškom vo vlastníctve  nadobúdateľa, ktorý svojím umiestnením a využitím tvorí neoddeliteľný celok so stavbou.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ukladá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zverejniť zámer obce Šalov odpredať nehnuteľnosť parcely C-KN č. 5976/2 – zastavená plocha a nádvorie o výmere 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podľa §9a ods. 8 písm. e) zákona č. 138/1991 Zb. o majetku obcí v platnom znení, t. j.  z dôvodu hodného osobitného zreteľa,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prospech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Alexandra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Juhásza</w:t>
      </w:r>
      <w:proofErr w:type="spellEnd"/>
      <w:r>
        <w:rPr>
          <w:rFonts w:ascii="Times New Roman" w:hAnsi="Times New Roman" w:cs="Times New Roman"/>
          <w:sz w:val="24"/>
          <w:szCs w:val="24"/>
        </w:rPr>
        <w:t>, bytom Málaš 159, za predajnú cenu 10,00 € za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7680E" w:rsidRDefault="0017680E" w:rsidP="0017680E">
      <w:pPr>
        <w:pStyle w:val="Bezriadkovania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d) ukladá</w:t>
      </w:r>
    </w:p>
    <w:p w:rsidR="00367524" w:rsidRDefault="0017680E" w:rsidP="0017680E">
      <w:pPr>
        <w:pStyle w:val="Bezriadkovania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pripraviť návrh znenia kúpnej zmluvy a predložiť ho na schválenie OZ v Šalov</w:t>
      </w:r>
      <w:r w:rsidR="00367524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</w:t>
      </w:r>
    </w:p>
    <w:p w:rsidR="0017680E" w:rsidRPr="0017680E" w:rsidRDefault="0017680E" w:rsidP="0017680E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</w:t>
      </w: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57/2023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Pr="00367524" w:rsidRDefault="0017680E" w:rsidP="00367524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9. Rôzne</w:t>
      </w:r>
    </w:p>
    <w:p w:rsidR="0017680E" w:rsidRDefault="0017680E" w:rsidP="001768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9a) Návrh na odstránenie administratívnej budovy so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súp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. č.  14 na p. č. 125 a rodinného domu so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súp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č. 154 na p. č. 417 vo vlastníctve obce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7680E" w:rsidRDefault="0017680E" w:rsidP="0017680E">
      <w:pPr>
        <w:pStyle w:val="Bezriadkovania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na odstránenie administratívnej budovy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 14 na p. č. 125 a rodinného domu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154 na p. č. 417 vo vlastníctve obce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odstránenie administratívnej budovy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č.  14 na p. č. 125 a rodinného domu so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154 na p. č. 417 vo vlastníctve obce</w:t>
      </w:r>
    </w:p>
    <w:p w:rsidR="0017680E" w:rsidRP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58/2023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Theme="minorHAnsi" w:hAnsiTheme="minorHAnsi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9b) Návrh Darovacej zmluvy medzi zmluvnými stranami Lepší život Šalov o. z. a Obec Šalov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7680E" w:rsidRDefault="0017680E" w:rsidP="0017680E">
      <w:pPr>
        <w:pStyle w:val="Bezriadkovania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Darovacej zmluvy medzi zmluvnými stranami Lepší život Šalov o. z. a Obec Šalov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umiestnenie prvkov detského ihriska vo vlastníctve Lepší život Šalov o. z., získané z poskytnutej dotácie z NSK na podporu implementácie Stratégií CLLD MAS  na verejnom priestranstve na p. č. 447 vo vlastníctve obce, s tým že, majiteľ je povinný starať sa o funkčnosť a bezpečnosť prvkov detského ihriska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neschvaľuje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podpísanie návrhu Darovacej zmluvy medzi zmluvnými stranami Lepší život Šalov o. z. a Obec Šalov, vzhľadom na uvedené povinnosti konečného prijímateľa uvedené v Čl. V. zmluvy o poskytnutej dotácie uzatvorenej medzi NSK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Dolnohronské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rozvojové partnerstvo</w:t>
      </w:r>
    </w:p>
    <w:p w:rsidR="0017680E" w:rsidRP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59/2023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Theme="minorHAnsi" w:hAnsiTheme="minorHAnsi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9c) Informácia o výsledkoch výberové konanie na funkciu riaditeľa ZŠ s VJM  Šalov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7680E" w:rsidRDefault="0017680E" w:rsidP="0017680E">
      <w:pPr>
        <w:pStyle w:val="Bezriadkovania"/>
        <w:rPr>
          <w:rFonts w:asciiTheme="minorHAnsi" w:eastAsiaTheme="minorEastAsia" w:hAnsiTheme="minorHAnsi" w:cstheme="minorBidi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17680E" w:rsidRP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výsledku výberového konania na funkciu riaditeľa ZŠ s VJM  Šalov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  </w:t>
      </w:r>
    </w:p>
    <w:p w:rsidR="00367524" w:rsidRDefault="00367524" w:rsidP="0017680E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Uznesenie č. 60/2023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P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9d) Výzva na predkladanie žiadosti o poskytnutie prostriedkov mechanizmu na podporu obnovy a odolnosti – Zvýšenie kapacít MŠ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7680E" w:rsidRDefault="0017680E" w:rsidP="0017680E">
      <w:pPr>
        <w:pStyle w:val="Bezriadkovania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možnosti predkladania žiadosti o poskytnutie prostriedkov mechanizmu na podporu obnovy a odolnosti – Zvýšenie kapacít MŠ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17680E" w:rsidRDefault="00367524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podať žiadosť </w:t>
      </w:r>
      <w:r w:rsidR="0017680E">
        <w:rPr>
          <w:rFonts w:ascii="Times New Roman" w:hAnsi="Times New Roman" w:cs="Times New Roman"/>
          <w:sz w:val="24"/>
          <w:szCs w:val="24"/>
        </w:rPr>
        <w:t>o poskytnutie  prostriedkov mechanizmu na podporu obnovy a odolnosti – Zvýšenie kapacít MŠ, na projekt „Prestavba a prístavba k MŠ“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poveruje 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starostku obce na všetky úkony súvisiace s prípravou a realizáciou projektu</w:t>
      </w:r>
    </w:p>
    <w:p w:rsidR="0017680E" w:rsidRP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61/2023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P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9e) Kontrola plnenia uznesení</w:t>
      </w:r>
    </w:p>
    <w:p w:rsidR="0017680E" w:rsidRPr="00367524" w:rsidRDefault="0017680E" w:rsidP="00367524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 w:rsidRPr="00367524"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17680E" w:rsidRPr="00367524" w:rsidRDefault="0017680E" w:rsidP="00367524">
      <w:pPr>
        <w:pStyle w:val="Bezriadkovania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367524"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17680E" w:rsidRPr="00367524" w:rsidRDefault="0017680E" w:rsidP="00367524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 w:rsidRPr="00367524">
        <w:rPr>
          <w:rFonts w:ascii="Times New Roman" w:hAnsi="Times New Roman" w:cs="Times New Roman"/>
          <w:kern w:val="3"/>
          <w:sz w:val="24"/>
          <w:szCs w:val="24"/>
        </w:rPr>
        <w:t>správu o  kontrole plnenia uznesení</w:t>
      </w:r>
    </w:p>
    <w:p w:rsidR="0017680E" w:rsidRDefault="0017680E" w:rsidP="0017680E">
      <w:pPr>
        <w:pStyle w:val="Bezriadkovania"/>
        <w:jc w:val="both"/>
        <w:rPr>
          <w:rFonts w:ascii="Bookman Old Style" w:hAnsi="Bookman Old Style"/>
          <w:b/>
          <w:sz w:val="52"/>
          <w:szCs w:val="52"/>
          <w:lang w:val="en-US"/>
        </w:rPr>
      </w:pPr>
      <w:r>
        <w:rPr>
          <w:rFonts w:ascii="Bookman Old Style" w:hAnsi="Bookman Old Style"/>
          <w:b/>
          <w:sz w:val="52"/>
          <w:szCs w:val="52"/>
          <w:lang w:val="en-US"/>
        </w:rPr>
        <w:t xml:space="preserve">         </w:t>
      </w:r>
    </w:p>
    <w:p w:rsidR="00367524" w:rsidRPr="0017680E" w:rsidRDefault="00367524" w:rsidP="0017680E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62/2023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P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9f)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Určenie zloženia členov jednotlivých komisií pri OZ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17680E" w:rsidRDefault="0017680E" w:rsidP="0017680E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určuje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členov jednotlivých komisií zriadených pri OZ nasledovne:</w:t>
      </w:r>
    </w:p>
    <w:p w:rsidR="0017680E" w:rsidRDefault="0017680E" w:rsidP="0017680E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komisie finančnej, správy majetku a územného plánovania – </w:t>
      </w:r>
    </w:p>
    <w:p w:rsidR="0017680E" w:rsidRDefault="0017680E" w:rsidP="0017680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 Molnárová – predseda komisie </w:t>
      </w:r>
    </w:p>
    <w:p w:rsidR="0017680E" w:rsidRDefault="0017680E" w:rsidP="0017680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Patrik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17680E" w:rsidRDefault="0017680E" w:rsidP="0017680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Zajacová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17680E" w:rsidRDefault="0017680E" w:rsidP="0017680E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komisie verejného poriadku a životného prostredia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predseda komisie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Hajnalka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 komisie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17680E" w:rsidRDefault="0017680E" w:rsidP="0017680E">
      <w:pPr>
        <w:pStyle w:val="Bezriadkovania"/>
        <w:numPr>
          <w:ilvl w:val="0"/>
          <w:numId w:val="2"/>
        </w:numPr>
        <w:rPr>
          <w:rFonts w:asciiTheme="minorHAnsi" w:hAnsiTheme="minorHAnsi" w:cstheme="minorBidi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komisie sociálnej, školstva, kultúry a športu</w:t>
      </w:r>
    </w:p>
    <w:p w:rsidR="0017680E" w:rsidRDefault="0017680E" w:rsidP="0017680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predseda komisie</w:t>
      </w:r>
    </w:p>
    <w:p w:rsidR="0017680E" w:rsidRDefault="0017680E" w:rsidP="0017680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17680E" w:rsidRDefault="0017680E" w:rsidP="0017680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17680E" w:rsidRDefault="0017680E" w:rsidP="0017680E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Bóna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17680E" w:rsidRPr="00367524" w:rsidRDefault="0017680E" w:rsidP="00367524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Dániel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  <w:r>
        <w:rPr>
          <w:rFonts w:ascii="Bookman Old Style" w:hAnsi="Bookman Old Style"/>
          <w:b/>
          <w:sz w:val="52"/>
          <w:szCs w:val="52"/>
          <w:lang w:val="en-US"/>
        </w:rPr>
        <w:t xml:space="preserve">        </w:t>
      </w:r>
    </w:p>
    <w:p w:rsidR="0017680E" w:rsidRDefault="0017680E" w:rsidP="0017680E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63/2023</w:t>
      </w:r>
    </w:p>
    <w:p w:rsidR="0017680E" w:rsidRDefault="0017680E" w:rsidP="001768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5. zasadnutia Obecného zastupiteľstva Obce Šalov </w:t>
      </w:r>
    </w:p>
    <w:p w:rsidR="0017680E" w:rsidRDefault="0017680E" w:rsidP="0017680E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27.06.2023</w:t>
      </w:r>
    </w:p>
    <w:p w:rsidR="0017680E" w:rsidRDefault="0017680E" w:rsidP="0017680E">
      <w:pPr>
        <w:pStyle w:val="Bezriadkovania"/>
        <w:rPr>
          <w:rFonts w:asciiTheme="minorHAnsi" w:hAnsiTheme="minorHAnsi"/>
        </w:rPr>
      </w:pPr>
    </w:p>
    <w:p w:rsidR="0017680E" w:rsidRDefault="0017680E" w:rsidP="0017680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11. Diskusia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17680E" w:rsidRDefault="0017680E" w:rsidP="0017680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prijať opatrenie na zníženie spotreby elektrickej energie na verejné osvetlenie v obci, a to vypínaním VO v čase od 22.00 hod</w:t>
      </w:r>
    </w:p>
    <w:p w:rsidR="0017680E" w:rsidRDefault="0017680E" w:rsidP="0017680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7680E" w:rsidRDefault="0017680E" w:rsidP="0017680E">
      <w:pPr>
        <w:rPr>
          <w:rFonts w:asciiTheme="minorHAnsi" w:hAnsiTheme="minorHAnsi" w:cstheme="minorBidi"/>
        </w:rPr>
      </w:pPr>
    </w:p>
    <w:p w:rsidR="0017680E" w:rsidRDefault="0017680E" w:rsidP="0017680E"/>
    <w:p w:rsidR="0017680E" w:rsidRDefault="0017680E" w:rsidP="0017680E"/>
    <w:p w:rsidR="0017680E" w:rsidRDefault="0017680E" w:rsidP="0017680E"/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17680E" w:rsidRPr="005F2BD6" w:rsidRDefault="0017680E" w:rsidP="007349C3">
      <w:pPr>
        <w:spacing w:after="120" w:line="240" w:lineRule="auto"/>
        <w:jc w:val="both"/>
        <w:outlineLvl w:val="0"/>
        <w:rPr>
          <w:rFonts w:ascii="Bookman Old Style" w:eastAsiaTheme="minorHAnsi" w:hAnsi="Bookman Old Style"/>
          <w:b/>
          <w:sz w:val="52"/>
          <w:szCs w:val="52"/>
          <w:lang w:val="en-US" w:eastAsia="en-US"/>
        </w:rPr>
      </w:pPr>
    </w:p>
    <w:p w:rsidR="007349C3" w:rsidRDefault="007349C3" w:rsidP="007349C3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349C3" w:rsidRDefault="007349C3" w:rsidP="007349C3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349C3" w:rsidSect="008C4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3717"/>
    <w:multiLevelType w:val="hybridMultilevel"/>
    <w:tmpl w:val="A21A5470"/>
    <w:lvl w:ilvl="0" w:tplc="DAC8E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F9E62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9C3"/>
    <w:rsid w:val="0017680E"/>
    <w:rsid w:val="00367524"/>
    <w:rsid w:val="007349C3"/>
    <w:rsid w:val="008C4AC0"/>
    <w:rsid w:val="00A8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49C3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7349C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7349C3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7349C3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7349C3"/>
    <w:pPr>
      <w:spacing w:before="120" w:after="0" w:line="240" w:lineRule="auto"/>
      <w:ind w:left="720" w:right="-1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zmezer1">
    <w:name w:val="Bez mezer1"/>
    <w:rsid w:val="007349C3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Odsekzoznamu1">
    <w:name w:val="Odsek zoznamu1"/>
    <w:basedOn w:val="Normlny"/>
    <w:rsid w:val="0017680E"/>
    <w:pPr>
      <w:spacing w:after="160" w:line="252" w:lineRule="auto"/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2023-07-06T12:31:00Z</cp:lastPrinted>
  <dcterms:created xsi:type="dcterms:W3CDTF">2023-07-06T12:07:00Z</dcterms:created>
  <dcterms:modified xsi:type="dcterms:W3CDTF">2023-07-06T12:32:00Z</dcterms:modified>
</cp:coreProperties>
</file>